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09158" w14:textId="77777777" w:rsidR="00AF4D54" w:rsidRPr="00AF4D54" w:rsidRDefault="00AF4D54" w:rsidP="00AF4D54">
      <w:r w:rsidRPr="00AF4D54">
        <w:rPr>
          <w:b/>
          <w:bCs/>
        </w:rPr>
        <w:t>Chapter 6: Advanced Employee Relations</w:t>
      </w:r>
    </w:p>
    <w:p w14:paraId="7594850D" w14:textId="77777777" w:rsidR="00AF4D54" w:rsidRPr="00AF4D54" w:rsidRDefault="00AF4D54" w:rsidP="00AF4D54">
      <w:r w:rsidRPr="00AF4D54">
        <w:pict w14:anchorId="4C9926BA">
          <v:rect id="_x0000_i1085" style="width:0;height:1.5pt" o:hralign="center" o:hrstd="t" o:hr="t" fillcolor="#a0a0a0" stroked="f"/>
        </w:pict>
      </w:r>
    </w:p>
    <w:p w14:paraId="5DC14ABE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Introduction</w:t>
      </w:r>
    </w:p>
    <w:p w14:paraId="5B5D4126" w14:textId="77777777" w:rsidR="00AF4D54" w:rsidRPr="00AF4D54" w:rsidRDefault="00AF4D54" w:rsidP="00AF4D54">
      <w:r w:rsidRPr="00AF4D54">
        <w:t xml:space="preserve">Strong employee relations are essential for fostering a respectful, productive, and legally compliant workplace. For senior HR professionals, managing employee relations goes far beyond handling </w:t>
      </w:r>
      <w:proofErr w:type="gramStart"/>
      <w:r w:rsidRPr="00AF4D54">
        <w:t>complaints—it</w:t>
      </w:r>
      <w:proofErr w:type="gramEnd"/>
      <w:r w:rsidRPr="00AF4D54">
        <w:t xml:space="preserve"> involves proactively shaping communication, addressing conflict, and building trust throughout the organization. This chapter explores how to strategically manage employee relations to support a high-performance culture and mitigate organizational risk.</w:t>
      </w:r>
    </w:p>
    <w:p w14:paraId="23993EC0" w14:textId="77777777" w:rsidR="00AF4D54" w:rsidRPr="00AF4D54" w:rsidRDefault="00AF4D54" w:rsidP="00AF4D54">
      <w:r w:rsidRPr="00AF4D54">
        <w:pict w14:anchorId="2A6F7D12">
          <v:rect id="_x0000_i1086" style="width:0;height:1.5pt" o:hralign="center" o:hrstd="t" o:hr="t" fillcolor="#a0a0a0" stroked="f"/>
        </w:pict>
      </w:r>
    </w:p>
    <w:p w14:paraId="49090D76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The Strategic Value of Employee Relations</w:t>
      </w:r>
    </w:p>
    <w:p w14:paraId="7B564D2B" w14:textId="77777777" w:rsidR="00AF4D54" w:rsidRPr="00AF4D54" w:rsidRDefault="00AF4D54" w:rsidP="00AF4D54">
      <w:r w:rsidRPr="00AF4D54">
        <w:t>Employee relations is a strategic HR function that contributes to:</w:t>
      </w:r>
    </w:p>
    <w:p w14:paraId="38DB5AA4" w14:textId="77777777" w:rsidR="00AF4D54" w:rsidRPr="00AF4D54" w:rsidRDefault="00AF4D54" w:rsidP="00AF4D54">
      <w:pPr>
        <w:numPr>
          <w:ilvl w:val="0"/>
          <w:numId w:val="1"/>
        </w:numPr>
      </w:pPr>
      <w:r w:rsidRPr="00AF4D54">
        <w:t>A positive work environment</w:t>
      </w:r>
    </w:p>
    <w:p w14:paraId="52310E55" w14:textId="77777777" w:rsidR="00AF4D54" w:rsidRPr="00AF4D54" w:rsidRDefault="00AF4D54" w:rsidP="00AF4D54">
      <w:pPr>
        <w:numPr>
          <w:ilvl w:val="0"/>
          <w:numId w:val="1"/>
        </w:numPr>
      </w:pPr>
      <w:r w:rsidRPr="00AF4D54">
        <w:t>Reduced conflict and turnover</w:t>
      </w:r>
    </w:p>
    <w:p w14:paraId="3EFFBB08" w14:textId="77777777" w:rsidR="00AF4D54" w:rsidRPr="00AF4D54" w:rsidRDefault="00AF4D54" w:rsidP="00AF4D54">
      <w:pPr>
        <w:numPr>
          <w:ilvl w:val="0"/>
          <w:numId w:val="1"/>
        </w:numPr>
      </w:pPr>
      <w:r w:rsidRPr="00AF4D54">
        <w:t>Increased employee engagement and morale</w:t>
      </w:r>
    </w:p>
    <w:p w14:paraId="73B6E7D0" w14:textId="77777777" w:rsidR="00AF4D54" w:rsidRPr="00AF4D54" w:rsidRDefault="00AF4D54" w:rsidP="00AF4D54">
      <w:pPr>
        <w:numPr>
          <w:ilvl w:val="0"/>
          <w:numId w:val="1"/>
        </w:numPr>
      </w:pPr>
      <w:r w:rsidRPr="00AF4D54">
        <w:t>Stronger alignment between employee behavior and business goals</w:t>
      </w:r>
    </w:p>
    <w:p w14:paraId="4AE80275" w14:textId="77777777" w:rsidR="00AF4D54" w:rsidRPr="00AF4D54" w:rsidRDefault="00AF4D54" w:rsidP="00AF4D54">
      <w:r w:rsidRPr="00AF4D54">
        <w:t>When managed well, effective employee relations foster collaboration, innovation, and psychological safety.</w:t>
      </w:r>
    </w:p>
    <w:p w14:paraId="41B331EC" w14:textId="77777777" w:rsidR="00AF4D54" w:rsidRPr="00AF4D54" w:rsidRDefault="00AF4D54" w:rsidP="00AF4D54">
      <w:r w:rsidRPr="00AF4D54">
        <w:pict w14:anchorId="121DEAAB">
          <v:rect id="_x0000_i1087" style="width:0;height:1.5pt" o:hralign="center" o:hrstd="t" o:hr="t" fillcolor="#a0a0a0" stroked="f"/>
        </w:pict>
      </w:r>
    </w:p>
    <w:p w14:paraId="128F0866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Key Areas of Responsibility</w:t>
      </w:r>
    </w:p>
    <w:p w14:paraId="1441E67B" w14:textId="77777777" w:rsidR="00AF4D54" w:rsidRPr="00AF4D54" w:rsidRDefault="00AF4D54" w:rsidP="00AF4D54">
      <w:r w:rsidRPr="00AF4D54">
        <w:t>Senior HR professionals must oversee several critical areas within employee relations:</w:t>
      </w:r>
    </w:p>
    <w:p w14:paraId="3F33C3B7" w14:textId="77777777" w:rsidR="00AF4D54" w:rsidRPr="00AF4D54" w:rsidRDefault="00AF4D54" w:rsidP="00AF4D54">
      <w:pPr>
        <w:numPr>
          <w:ilvl w:val="0"/>
          <w:numId w:val="2"/>
        </w:numPr>
      </w:pPr>
      <w:r w:rsidRPr="00AF4D54">
        <w:t>Conflict resolution and mediation</w:t>
      </w:r>
    </w:p>
    <w:p w14:paraId="3FE824D0" w14:textId="77777777" w:rsidR="00AF4D54" w:rsidRPr="00AF4D54" w:rsidRDefault="00AF4D54" w:rsidP="00AF4D54">
      <w:pPr>
        <w:numPr>
          <w:ilvl w:val="0"/>
          <w:numId w:val="2"/>
        </w:numPr>
      </w:pPr>
      <w:r w:rsidRPr="00AF4D54">
        <w:t>Workplace investigations and documentation</w:t>
      </w:r>
    </w:p>
    <w:p w14:paraId="47D91787" w14:textId="77777777" w:rsidR="00AF4D54" w:rsidRPr="00AF4D54" w:rsidRDefault="00AF4D54" w:rsidP="00AF4D54">
      <w:pPr>
        <w:numPr>
          <w:ilvl w:val="0"/>
          <w:numId w:val="2"/>
        </w:numPr>
      </w:pPr>
      <w:r w:rsidRPr="00AF4D54">
        <w:t>Policy enforcement and disciplinary action</w:t>
      </w:r>
    </w:p>
    <w:p w14:paraId="6E687952" w14:textId="77777777" w:rsidR="00AF4D54" w:rsidRPr="00AF4D54" w:rsidRDefault="00AF4D54" w:rsidP="00AF4D54">
      <w:pPr>
        <w:numPr>
          <w:ilvl w:val="0"/>
          <w:numId w:val="2"/>
        </w:numPr>
      </w:pPr>
      <w:r w:rsidRPr="00AF4D54">
        <w:t>Employee grievance procedures</w:t>
      </w:r>
    </w:p>
    <w:p w14:paraId="3903327B" w14:textId="77777777" w:rsidR="00AF4D54" w:rsidRPr="00AF4D54" w:rsidRDefault="00AF4D54" w:rsidP="00AF4D54">
      <w:pPr>
        <w:numPr>
          <w:ilvl w:val="0"/>
          <w:numId w:val="2"/>
        </w:numPr>
      </w:pPr>
      <w:r w:rsidRPr="00AF4D54">
        <w:t>Employee communication and feedback mechanisms</w:t>
      </w:r>
    </w:p>
    <w:p w14:paraId="4AB45D8B" w14:textId="77777777" w:rsidR="00AF4D54" w:rsidRPr="00AF4D54" w:rsidRDefault="00AF4D54" w:rsidP="00AF4D54">
      <w:r w:rsidRPr="00AF4D54">
        <w:t>Each area requires a consistent, fair, and legally sound approach.</w:t>
      </w:r>
    </w:p>
    <w:p w14:paraId="04757491" w14:textId="77777777" w:rsidR="00AF4D54" w:rsidRPr="00AF4D54" w:rsidRDefault="00AF4D54" w:rsidP="00AF4D54">
      <w:r w:rsidRPr="00AF4D54">
        <w:pict w14:anchorId="20C04E68">
          <v:rect id="_x0000_i1088" style="width:0;height:1.5pt" o:hralign="center" o:hrstd="t" o:hr="t" fillcolor="#a0a0a0" stroked="f"/>
        </w:pict>
      </w:r>
    </w:p>
    <w:p w14:paraId="290594B3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lastRenderedPageBreak/>
        <w:t>Conflict Resolution at the Senior Level</w:t>
      </w:r>
    </w:p>
    <w:p w14:paraId="56266F71" w14:textId="77777777" w:rsidR="00AF4D54" w:rsidRPr="00AF4D54" w:rsidRDefault="00AF4D54" w:rsidP="00AF4D54">
      <w:r w:rsidRPr="00AF4D54">
        <w:t xml:space="preserve">Not all </w:t>
      </w:r>
      <w:proofErr w:type="gramStart"/>
      <w:r w:rsidRPr="00AF4D54">
        <w:t>conflict is</w:t>
      </w:r>
      <w:proofErr w:type="gramEnd"/>
      <w:r w:rsidRPr="00AF4D54">
        <w:t xml:space="preserve"> negative. When approached constructively, it can lead to better understanding and innovation. HR leaders should:</w:t>
      </w:r>
    </w:p>
    <w:p w14:paraId="1B8E28C8" w14:textId="77777777" w:rsidR="00AF4D54" w:rsidRPr="00AF4D54" w:rsidRDefault="00AF4D54" w:rsidP="00AF4D54">
      <w:pPr>
        <w:numPr>
          <w:ilvl w:val="0"/>
          <w:numId w:val="3"/>
        </w:numPr>
      </w:pPr>
      <w:r w:rsidRPr="00AF4D54">
        <w:t>Promote early intervention and open dialogue</w:t>
      </w:r>
    </w:p>
    <w:p w14:paraId="37BF3542" w14:textId="77777777" w:rsidR="00AF4D54" w:rsidRPr="00AF4D54" w:rsidRDefault="00AF4D54" w:rsidP="00AF4D54">
      <w:pPr>
        <w:numPr>
          <w:ilvl w:val="0"/>
          <w:numId w:val="3"/>
        </w:numPr>
      </w:pPr>
      <w:r w:rsidRPr="00AF4D54">
        <w:t>Train managers in conflict resolution skills</w:t>
      </w:r>
    </w:p>
    <w:p w14:paraId="3D6AEC16" w14:textId="77777777" w:rsidR="00AF4D54" w:rsidRPr="00AF4D54" w:rsidRDefault="00AF4D54" w:rsidP="00AF4D54">
      <w:pPr>
        <w:numPr>
          <w:ilvl w:val="0"/>
          <w:numId w:val="3"/>
        </w:numPr>
      </w:pPr>
      <w:r w:rsidRPr="00AF4D54">
        <w:t>Use neutral mediation for complex issues</w:t>
      </w:r>
    </w:p>
    <w:p w14:paraId="49EFC9EE" w14:textId="77777777" w:rsidR="00AF4D54" w:rsidRPr="00AF4D54" w:rsidRDefault="00AF4D54" w:rsidP="00AF4D54">
      <w:pPr>
        <w:numPr>
          <w:ilvl w:val="0"/>
          <w:numId w:val="3"/>
        </w:numPr>
      </w:pPr>
      <w:r w:rsidRPr="00AF4D54">
        <w:t>Document discussions and outcomes to protect all parties</w:t>
      </w:r>
    </w:p>
    <w:p w14:paraId="0F22834F" w14:textId="77777777" w:rsidR="00AF4D54" w:rsidRPr="00AF4D54" w:rsidRDefault="00AF4D54" w:rsidP="00AF4D54">
      <w:r w:rsidRPr="00AF4D54">
        <w:t>Senior HR leaders must model a culture where respectful disagreement is welcomed and resolved professionally.</w:t>
      </w:r>
    </w:p>
    <w:p w14:paraId="3A142AFE" w14:textId="77777777" w:rsidR="00AF4D54" w:rsidRPr="00AF4D54" w:rsidRDefault="00AF4D54" w:rsidP="00AF4D54">
      <w:r w:rsidRPr="00AF4D54">
        <w:pict w14:anchorId="0C8CACAC">
          <v:rect id="_x0000_i1089" style="width:0;height:1.5pt" o:hralign="center" o:hrstd="t" o:hr="t" fillcolor="#a0a0a0" stroked="f"/>
        </w:pict>
      </w:r>
    </w:p>
    <w:p w14:paraId="32C21C14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Conducting Effective Workplace Investigations</w:t>
      </w:r>
    </w:p>
    <w:p w14:paraId="5BBC01E2" w14:textId="77777777" w:rsidR="00AF4D54" w:rsidRPr="00AF4D54" w:rsidRDefault="00AF4D54" w:rsidP="00AF4D54">
      <w:r w:rsidRPr="00AF4D54">
        <w:t>Workplace investigations must be thorough, unbiased, and compliant with employment law. Best practices include:</w:t>
      </w:r>
    </w:p>
    <w:p w14:paraId="56A1140A" w14:textId="77777777" w:rsidR="00AF4D54" w:rsidRPr="00AF4D54" w:rsidRDefault="00AF4D54" w:rsidP="00AF4D54">
      <w:pPr>
        <w:numPr>
          <w:ilvl w:val="0"/>
          <w:numId w:val="4"/>
        </w:numPr>
      </w:pPr>
      <w:r w:rsidRPr="00AF4D54">
        <w:t>Responding promptly to complaints</w:t>
      </w:r>
    </w:p>
    <w:p w14:paraId="7C8AB4C5" w14:textId="77777777" w:rsidR="00AF4D54" w:rsidRPr="00AF4D54" w:rsidRDefault="00AF4D54" w:rsidP="00AF4D54">
      <w:pPr>
        <w:numPr>
          <w:ilvl w:val="0"/>
          <w:numId w:val="4"/>
        </w:numPr>
      </w:pPr>
      <w:r w:rsidRPr="00AF4D54">
        <w:t>Selecting a qualified, neutral investigator</w:t>
      </w:r>
    </w:p>
    <w:p w14:paraId="7045F468" w14:textId="77777777" w:rsidR="00AF4D54" w:rsidRPr="00AF4D54" w:rsidRDefault="00AF4D54" w:rsidP="00AF4D54">
      <w:pPr>
        <w:numPr>
          <w:ilvl w:val="0"/>
          <w:numId w:val="4"/>
        </w:numPr>
      </w:pPr>
      <w:r w:rsidRPr="00AF4D54">
        <w:t>Conducting confidential interviews</w:t>
      </w:r>
    </w:p>
    <w:p w14:paraId="46BE29F3" w14:textId="77777777" w:rsidR="00AF4D54" w:rsidRPr="00AF4D54" w:rsidRDefault="00AF4D54" w:rsidP="00AF4D54">
      <w:pPr>
        <w:numPr>
          <w:ilvl w:val="0"/>
          <w:numId w:val="4"/>
        </w:numPr>
      </w:pPr>
      <w:r w:rsidRPr="00AF4D54">
        <w:t>Reviewing all relevant documentation</w:t>
      </w:r>
    </w:p>
    <w:p w14:paraId="085C25F9" w14:textId="77777777" w:rsidR="00AF4D54" w:rsidRPr="00AF4D54" w:rsidRDefault="00AF4D54" w:rsidP="00AF4D54">
      <w:pPr>
        <w:numPr>
          <w:ilvl w:val="0"/>
          <w:numId w:val="4"/>
        </w:numPr>
      </w:pPr>
      <w:r w:rsidRPr="00AF4D54">
        <w:t>Making factual, consistent decisions</w:t>
      </w:r>
    </w:p>
    <w:p w14:paraId="52297B00" w14:textId="77777777" w:rsidR="00AF4D54" w:rsidRPr="00AF4D54" w:rsidRDefault="00AF4D54" w:rsidP="00AF4D54">
      <w:pPr>
        <w:numPr>
          <w:ilvl w:val="0"/>
          <w:numId w:val="4"/>
        </w:numPr>
      </w:pPr>
      <w:r w:rsidRPr="00AF4D54">
        <w:t>Following up with outcomes and actions</w:t>
      </w:r>
    </w:p>
    <w:p w14:paraId="1C609C06" w14:textId="77777777" w:rsidR="00AF4D54" w:rsidRPr="00AF4D54" w:rsidRDefault="00AF4D54" w:rsidP="00AF4D54">
      <w:r w:rsidRPr="00AF4D54">
        <w:t>Proper investigation protocols help reduce legal risk and reinforce accountability.</w:t>
      </w:r>
    </w:p>
    <w:p w14:paraId="414E50AC" w14:textId="77777777" w:rsidR="00AF4D54" w:rsidRPr="00AF4D54" w:rsidRDefault="00AF4D54" w:rsidP="00AF4D54">
      <w:r w:rsidRPr="00AF4D54">
        <w:pict w14:anchorId="0BC90181">
          <v:rect id="_x0000_i1090" style="width:0;height:1.5pt" o:hralign="center" o:hrstd="t" o:hr="t" fillcolor="#a0a0a0" stroked="f"/>
        </w:pict>
      </w:r>
    </w:p>
    <w:p w14:paraId="74799CB0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Progressive Discipline &amp; Documentation</w:t>
      </w:r>
    </w:p>
    <w:p w14:paraId="787D13B4" w14:textId="77777777" w:rsidR="00AF4D54" w:rsidRPr="00AF4D54" w:rsidRDefault="00AF4D54" w:rsidP="00AF4D54">
      <w:r w:rsidRPr="00AF4D54">
        <w:t>Discipline is not about punishment—it’s about correcting behavior and aligning performance. A progressive discipline approach typically includes:</w:t>
      </w:r>
    </w:p>
    <w:p w14:paraId="7169E5AF" w14:textId="77777777" w:rsidR="00AF4D54" w:rsidRPr="00AF4D54" w:rsidRDefault="00AF4D54" w:rsidP="00AF4D54">
      <w:pPr>
        <w:numPr>
          <w:ilvl w:val="0"/>
          <w:numId w:val="5"/>
        </w:numPr>
      </w:pPr>
      <w:r w:rsidRPr="00AF4D54">
        <w:t>Verbal warning</w:t>
      </w:r>
    </w:p>
    <w:p w14:paraId="069D702D" w14:textId="77777777" w:rsidR="00AF4D54" w:rsidRPr="00AF4D54" w:rsidRDefault="00AF4D54" w:rsidP="00AF4D54">
      <w:pPr>
        <w:numPr>
          <w:ilvl w:val="0"/>
          <w:numId w:val="5"/>
        </w:numPr>
      </w:pPr>
      <w:r w:rsidRPr="00AF4D54">
        <w:t>Written warning</w:t>
      </w:r>
    </w:p>
    <w:p w14:paraId="60E51CBA" w14:textId="77777777" w:rsidR="00AF4D54" w:rsidRPr="00AF4D54" w:rsidRDefault="00AF4D54" w:rsidP="00AF4D54">
      <w:pPr>
        <w:numPr>
          <w:ilvl w:val="0"/>
          <w:numId w:val="5"/>
        </w:numPr>
      </w:pPr>
      <w:r w:rsidRPr="00AF4D54">
        <w:t>Final written warning</w:t>
      </w:r>
    </w:p>
    <w:p w14:paraId="508BF61E" w14:textId="77777777" w:rsidR="00AF4D54" w:rsidRPr="00AF4D54" w:rsidRDefault="00AF4D54" w:rsidP="00AF4D54">
      <w:pPr>
        <w:numPr>
          <w:ilvl w:val="0"/>
          <w:numId w:val="5"/>
        </w:numPr>
      </w:pPr>
      <w:r w:rsidRPr="00AF4D54">
        <w:lastRenderedPageBreak/>
        <w:t>Termination (if necessary)</w:t>
      </w:r>
    </w:p>
    <w:p w14:paraId="246DC1FB" w14:textId="77777777" w:rsidR="00AF4D54" w:rsidRPr="00AF4D54" w:rsidRDefault="00AF4D54" w:rsidP="00AF4D54">
      <w:r w:rsidRPr="00AF4D54">
        <w:t>Documentation is essential at every stage to ensure transparency and defend against claims of unfair treatment.</w:t>
      </w:r>
    </w:p>
    <w:p w14:paraId="21B76EEF" w14:textId="77777777" w:rsidR="00AF4D54" w:rsidRPr="00AF4D54" w:rsidRDefault="00AF4D54" w:rsidP="00AF4D54">
      <w:r w:rsidRPr="00AF4D54">
        <w:pict w14:anchorId="394B5C20">
          <v:rect id="_x0000_i1091" style="width:0;height:1.5pt" o:hralign="center" o:hrstd="t" o:hr="t" fillcolor="#a0a0a0" stroked="f"/>
        </w:pict>
      </w:r>
    </w:p>
    <w:p w14:paraId="15279BDF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Strengthening Employee Voice</w:t>
      </w:r>
    </w:p>
    <w:p w14:paraId="2B9373B5" w14:textId="77777777" w:rsidR="00AF4D54" w:rsidRPr="00AF4D54" w:rsidRDefault="00AF4D54" w:rsidP="00AF4D54">
      <w:r w:rsidRPr="00AF4D54">
        <w:t>Senior HR leaders must create avenues for employees to express ideas, concerns, and feedback. Strategies include:</w:t>
      </w:r>
    </w:p>
    <w:p w14:paraId="52CABB59" w14:textId="77777777" w:rsidR="00AF4D54" w:rsidRPr="00AF4D54" w:rsidRDefault="00AF4D54" w:rsidP="00AF4D54">
      <w:pPr>
        <w:numPr>
          <w:ilvl w:val="0"/>
          <w:numId w:val="6"/>
        </w:numPr>
      </w:pPr>
      <w:r w:rsidRPr="00AF4D54">
        <w:t>Employee surveys and pulse checks</w:t>
      </w:r>
    </w:p>
    <w:p w14:paraId="468221F1" w14:textId="77777777" w:rsidR="00AF4D54" w:rsidRPr="00AF4D54" w:rsidRDefault="00AF4D54" w:rsidP="00AF4D54">
      <w:pPr>
        <w:numPr>
          <w:ilvl w:val="0"/>
          <w:numId w:val="6"/>
        </w:numPr>
      </w:pPr>
      <w:r w:rsidRPr="00AF4D54">
        <w:t>Anonymous reporting tools</w:t>
      </w:r>
    </w:p>
    <w:p w14:paraId="095D07E0" w14:textId="77777777" w:rsidR="00AF4D54" w:rsidRPr="00AF4D54" w:rsidRDefault="00AF4D54" w:rsidP="00AF4D54">
      <w:pPr>
        <w:numPr>
          <w:ilvl w:val="0"/>
          <w:numId w:val="6"/>
        </w:numPr>
      </w:pPr>
      <w:r w:rsidRPr="00AF4D54">
        <w:t>Regular town halls and Q&amp;A sessions</w:t>
      </w:r>
    </w:p>
    <w:p w14:paraId="5103D060" w14:textId="77777777" w:rsidR="00AF4D54" w:rsidRPr="00AF4D54" w:rsidRDefault="00AF4D54" w:rsidP="00AF4D54">
      <w:pPr>
        <w:numPr>
          <w:ilvl w:val="0"/>
          <w:numId w:val="6"/>
        </w:numPr>
      </w:pPr>
      <w:r w:rsidRPr="00AF4D54">
        <w:t>Open-door policies and skip-level meetings</w:t>
      </w:r>
    </w:p>
    <w:p w14:paraId="1A5DCEF7" w14:textId="77777777" w:rsidR="00AF4D54" w:rsidRPr="00AF4D54" w:rsidRDefault="00AF4D54" w:rsidP="00AF4D54">
      <w:r w:rsidRPr="00AF4D54">
        <w:t>When employees feel heard, trust and engagement increase.</w:t>
      </w:r>
    </w:p>
    <w:p w14:paraId="1BD99646" w14:textId="77777777" w:rsidR="00AF4D54" w:rsidRPr="00AF4D54" w:rsidRDefault="00AF4D54" w:rsidP="00AF4D54">
      <w:r w:rsidRPr="00AF4D54">
        <w:pict w14:anchorId="1B19FC30">
          <v:rect id="_x0000_i1092" style="width:0;height:1.5pt" o:hralign="center" o:hrstd="t" o:hr="t" fillcolor="#a0a0a0" stroked="f"/>
        </w:pict>
      </w:r>
    </w:p>
    <w:p w14:paraId="0566CC48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Labor Relations and Union Strategy</w:t>
      </w:r>
    </w:p>
    <w:p w14:paraId="53B79942" w14:textId="77777777" w:rsidR="00AF4D54" w:rsidRPr="00AF4D54" w:rsidRDefault="00AF4D54" w:rsidP="00AF4D54">
      <w:r w:rsidRPr="00AF4D54">
        <w:t>In unionized environments or during potential organizing efforts, HR must be well-versed in:</w:t>
      </w:r>
    </w:p>
    <w:p w14:paraId="457F4E2C" w14:textId="77777777" w:rsidR="00AF4D54" w:rsidRPr="00AF4D54" w:rsidRDefault="00AF4D54" w:rsidP="00AF4D54">
      <w:pPr>
        <w:numPr>
          <w:ilvl w:val="0"/>
          <w:numId w:val="7"/>
        </w:numPr>
      </w:pPr>
      <w:r w:rsidRPr="00AF4D54">
        <w:t>Collective bargaining processes</w:t>
      </w:r>
    </w:p>
    <w:p w14:paraId="3FE6B59E" w14:textId="77777777" w:rsidR="00AF4D54" w:rsidRPr="00AF4D54" w:rsidRDefault="00AF4D54" w:rsidP="00AF4D54">
      <w:pPr>
        <w:numPr>
          <w:ilvl w:val="0"/>
          <w:numId w:val="7"/>
        </w:numPr>
      </w:pPr>
      <w:r w:rsidRPr="00AF4D54">
        <w:t>Labor law compliance (e.g., NLRA)</w:t>
      </w:r>
    </w:p>
    <w:p w14:paraId="10D23AC1" w14:textId="77777777" w:rsidR="00AF4D54" w:rsidRPr="00AF4D54" w:rsidRDefault="00AF4D54" w:rsidP="00AF4D54">
      <w:pPr>
        <w:numPr>
          <w:ilvl w:val="0"/>
          <w:numId w:val="7"/>
        </w:numPr>
      </w:pPr>
      <w:r w:rsidRPr="00AF4D54">
        <w:t>Union contract administration</w:t>
      </w:r>
    </w:p>
    <w:p w14:paraId="6C24B51C" w14:textId="77777777" w:rsidR="00AF4D54" w:rsidRPr="00AF4D54" w:rsidRDefault="00AF4D54" w:rsidP="00AF4D54">
      <w:pPr>
        <w:numPr>
          <w:ilvl w:val="0"/>
          <w:numId w:val="7"/>
        </w:numPr>
      </w:pPr>
      <w:r w:rsidRPr="00AF4D54">
        <w:t>Managing grievances and arbitrations</w:t>
      </w:r>
    </w:p>
    <w:p w14:paraId="5744D973" w14:textId="77777777" w:rsidR="00AF4D54" w:rsidRPr="00AF4D54" w:rsidRDefault="00AF4D54" w:rsidP="00AF4D54">
      <w:r w:rsidRPr="00AF4D54">
        <w:t>Even in non-union settings, proactive employee relations can help avoid the need for union representation.</w:t>
      </w:r>
    </w:p>
    <w:p w14:paraId="0756E85F" w14:textId="77777777" w:rsidR="00AF4D54" w:rsidRPr="00AF4D54" w:rsidRDefault="00AF4D54" w:rsidP="00AF4D54">
      <w:r w:rsidRPr="00AF4D54">
        <w:pict w14:anchorId="4EEC78A1">
          <v:rect id="_x0000_i1093" style="width:0;height:1.5pt" o:hralign="center" o:hrstd="t" o:hr="t" fillcolor="#a0a0a0" stroked="f"/>
        </w:pict>
      </w:r>
    </w:p>
    <w:p w14:paraId="2C1D44F4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HR’s Role in Building Trust</w:t>
      </w:r>
    </w:p>
    <w:p w14:paraId="79EB0035" w14:textId="77777777" w:rsidR="00AF4D54" w:rsidRPr="00AF4D54" w:rsidRDefault="00AF4D54" w:rsidP="00AF4D54">
      <w:r w:rsidRPr="00AF4D54">
        <w:t>Employee relations are rooted in trust. HR leaders earn trust by:</w:t>
      </w:r>
    </w:p>
    <w:p w14:paraId="4773DA9A" w14:textId="77777777" w:rsidR="00AF4D54" w:rsidRPr="00AF4D54" w:rsidRDefault="00AF4D54" w:rsidP="00AF4D54">
      <w:pPr>
        <w:numPr>
          <w:ilvl w:val="0"/>
          <w:numId w:val="8"/>
        </w:numPr>
      </w:pPr>
      <w:r w:rsidRPr="00AF4D54">
        <w:t>Maintaining confidentiality</w:t>
      </w:r>
    </w:p>
    <w:p w14:paraId="42962EC5" w14:textId="77777777" w:rsidR="00AF4D54" w:rsidRPr="00AF4D54" w:rsidRDefault="00AF4D54" w:rsidP="00AF4D54">
      <w:pPr>
        <w:numPr>
          <w:ilvl w:val="0"/>
          <w:numId w:val="8"/>
        </w:numPr>
      </w:pPr>
      <w:r w:rsidRPr="00AF4D54">
        <w:t>Acting with consistency and fairness</w:t>
      </w:r>
    </w:p>
    <w:p w14:paraId="168D19D4" w14:textId="77777777" w:rsidR="00AF4D54" w:rsidRPr="00AF4D54" w:rsidRDefault="00AF4D54" w:rsidP="00AF4D54">
      <w:pPr>
        <w:numPr>
          <w:ilvl w:val="0"/>
          <w:numId w:val="8"/>
        </w:numPr>
      </w:pPr>
      <w:r w:rsidRPr="00AF4D54">
        <w:t>Being transparent in communication</w:t>
      </w:r>
    </w:p>
    <w:p w14:paraId="3E24A0D3" w14:textId="77777777" w:rsidR="00AF4D54" w:rsidRPr="00AF4D54" w:rsidRDefault="00AF4D54" w:rsidP="00AF4D54">
      <w:pPr>
        <w:numPr>
          <w:ilvl w:val="0"/>
          <w:numId w:val="8"/>
        </w:numPr>
      </w:pPr>
      <w:r w:rsidRPr="00AF4D54">
        <w:lastRenderedPageBreak/>
        <w:t>Providing support during conflict and transition</w:t>
      </w:r>
    </w:p>
    <w:p w14:paraId="1E3A8B15" w14:textId="77777777" w:rsidR="00AF4D54" w:rsidRPr="00AF4D54" w:rsidRDefault="00AF4D54" w:rsidP="00AF4D54">
      <w:r w:rsidRPr="00AF4D54">
        <w:t>Trust is the cornerstone of an inclusive and engaged culture.</w:t>
      </w:r>
    </w:p>
    <w:p w14:paraId="46F66298" w14:textId="77777777" w:rsidR="00AF4D54" w:rsidRPr="00AF4D54" w:rsidRDefault="00AF4D54" w:rsidP="00AF4D54">
      <w:r w:rsidRPr="00AF4D54">
        <w:pict w14:anchorId="60DCA55B">
          <v:rect id="_x0000_i1094" style="width:0;height:1.5pt" o:hralign="center" o:hrstd="t" o:hr="t" fillcolor="#a0a0a0" stroked="f"/>
        </w:pict>
      </w:r>
    </w:p>
    <w:p w14:paraId="7531435F" w14:textId="77777777" w:rsidR="00AF4D54" w:rsidRPr="00AF4D54" w:rsidRDefault="00AF4D54" w:rsidP="00AF4D54">
      <w:pPr>
        <w:rPr>
          <w:b/>
          <w:bCs/>
        </w:rPr>
      </w:pPr>
      <w:r w:rsidRPr="00AF4D54">
        <w:rPr>
          <w:b/>
          <w:bCs/>
        </w:rPr>
        <w:t>Conclusion</w:t>
      </w:r>
    </w:p>
    <w:p w14:paraId="7DF291C3" w14:textId="77777777" w:rsidR="00AF4D54" w:rsidRPr="00AF4D54" w:rsidRDefault="00AF4D54" w:rsidP="00AF4D54">
      <w:r w:rsidRPr="00AF4D54">
        <w:t xml:space="preserve">Advanced employee relations is a dynamic function that supports organizational health, minimizes risk, and enhances </w:t>
      </w:r>
      <w:proofErr w:type="gramStart"/>
      <w:r w:rsidRPr="00AF4D54">
        <w:t>the employee</w:t>
      </w:r>
      <w:proofErr w:type="gramEnd"/>
      <w:r w:rsidRPr="00AF4D54">
        <w:t xml:space="preserve"> experience. Senior HR professionals must proactively lead with empathy, fairness, and professionalism to ensure that workplace relationships are strong, respectful, and aligned with the company’s mission and values.</w:t>
      </w:r>
    </w:p>
    <w:p w14:paraId="1D1B6FB7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45BE6"/>
    <w:multiLevelType w:val="multilevel"/>
    <w:tmpl w:val="C5B4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A875D6"/>
    <w:multiLevelType w:val="multilevel"/>
    <w:tmpl w:val="DE3E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34346B"/>
    <w:multiLevelType w:val="multilevel"/>
    <w:tmpl w:val="6542E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F041CA"/>
    <w:multiLevelType w:val="multilevel"/>
    <w:tmpl w:val="5E88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3445CA"/>
    <w:multiLevelType w:val="multilevel"/>
    <w:tmpl w:val="41D63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E25E08"/>
    <w:multiLevelType w:val="multilevel"/>
    <w:tmpl w:val="56F20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B763D1"/>
    <w:multiLevelType w:val="multilevel"/>
    <w:tmpl w:val="10144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960C53"/>
    <w:multiLevelType w:val="multilevel"/>
    <w:tmpl w:val="EBAC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1962343">
    <w:abstractNumId w:val="0"/>
  </w:num>
  <w:num w:numId="2" w16cid:durableId="80638033">
    <w:abstractNumId w:val="3"/>
  </w:num>
  <w:num w:numId="3" w16cid:durableId="1846894616">
    <w:abstractNumId w:val="5"/>
  </w:num>
  <w:num w:numId="4" w16cid:durableId="1901204809">
    <w:abstractNumId w:val="1"/>
  </w:num>
  <w:num w:numId="5" w16cid:durableId="895313278">
    <w:abstractNumId w:val="4"/>
  </w:num>
  <w:num w:numId="6" w16cid:durableId="1091509550">
    <w:abstractNumId w:val="7"/>
  </w:num>
  <w:num w:numId="7" w16cid:durableId="1388920164">
    <w:abstractNumId w:val="2"/>
  </w:num>
  <w:num w:numId="8" w16cid:durableId="150413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CE0"/>
    <w:rsid w:val="000516D7"/>
    <w:rsid w:val="003C0FCC"/>
    <w:rsid w:val="005568C0"/>
    <w:rsid w:val="005809FA"/>
    <w:rsid w:val="00995CE0"/>
    <w:rsid w:val="00AF4D54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3560C"/>
  <w15:chartTrackingRefBased/>
  <w15:docId w15:val="{A66A7440-A3C4-4318-9992-8EEA0FF3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5C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5C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5C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5C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5C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5C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5C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5C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5C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5C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5C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5C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5C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5C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5C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5C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5C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5C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5C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5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5C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5C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5C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5C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5C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5C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5C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5C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5C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2025-03-21T17:29:00Z</dcterms:created>
  <dcterms:modified xsi:type="dcterms:W3CDTF">2025-03-21T17:30:00Z</dcterms:modified>
</cp:coreProperties>
</file>