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16F48" w14:textId="77777777" w:rsidR="00650F45" w:rsidRPr="00650F45" w:rsidRDefault="00650F45" w:rsidP="00650F45">
      <w:r w:rsidRPr="00650F45">
        <w:rPr>
          <w:b/>
          <w:bCs/>
        </w:rPr>
        <w:t>Chapter 3: Talent Optimization &amp; Succession Planning</w:t>
      </w:r>
    </w:p>
    <w:p w14:paraId="539718DD" w14:textId="77777777" w:rsidR="00650F45" w:rsidRPr="00650F45" w:rsidRDefault="00650F45" w:rsidP="00650F45">
      <w:r w:rsidRPr="00650F45">
        <w:pict w14:anchorId="25882EA0">
          <v:rect id="_x0000_i1073" style="width:0;height:1.5pt" o:hralign="center" o:hrstd="t" o:hr="t" fillcolor="#a0a0a0" stroked="f"/>
        </w:pict>
      </w:r>
    </w:p>
    <w:p w14:paraId="66A1C2DB" w14:textId="77777777" w:rsidR="00650F45" w:rsidRPr="00650F45" w:rsidRDefault="00650F45" w:rsidP="00650F45">
      <w:pPr>
        <w:rPr>
          <w:b/>
          <w:bCs/>
        </w:rPr>
      </w:pPr>
      <w:r w:rsidRPr="00650F45">
        <w:rPr>
          <w:b/>
          <w:bCs/>
        </w:rPr>
        <w:t>Introduction</w:t>
      </w:r>
    </w:p>
    <w:p w14:paraId="66BD2CF7" w14:textId="77777777" w:rsidR="00650F45" w:rsidRPr="00650F45" w:rsidRDefault="00650F45" w:rsidP="00650F45">
      <w:r w:rsidRPr="00650F45">
        <w:t>At the heart of every high-performing organization lies a well-developed talent strategy. Senior HR professionals are tasked with optimizing workforce capabilities and preparing the organization for future leadership needs. This chapter delves into the strategic tools and frameworks needed to attract, develop, and retain top talent while ensuring continuity through succession planning.</w:t>
      </w:r>
    </w:p>
    <w:p w14:paraId="0272DEAB" w14:textId="77777777" w:rsidR="00650F45" w:rsidRPr="00650F45" w:rsidRDefault="00650F45" w:rsidP="00650F45">
      <w:r w:rsidRPr="00650F45">
        <w:pict w14:anchorId="747182D8">
          <v:rect id="_x0000_i1074" style="width:0;height:1.5pt" o:hralign="center" o:hrstd="t" o:hr="t" fillcolor="#a0a0a0" stroked="f"/>
        </w:pict>
      </w:r>
    </w:p>
    <w:p w14:paraId="0BD4FEEC" w14:textId="77777777" w:rsidR="00650F45" w:rsidRPr="00650F45" w:rsidRDefault="00650F45" w:rsidP="00650F45">
      <w:pPr>
        <w:rPr>
          <w:b/>
          <w:bCs/>
        </w:rPr>
      </w:pPr>
      <w:r w:rsidRPr="00650F45">
        <w:rPr>
          <w:b/>
          <w:bCs/>
        </w:rPr>
        <w:t>Understanding Talent Optimization</w:t>
      </w:r>
    </w:p>
    <w:p w14:paraId="05444B14" w14:textId="77777777" w:rsidR="00650F45" w:rsidRPr="00650F45" w:rsidRDefault="00650F45" w:rsidP="00650F45">
      <w:r w:rsidRPr="00650F45">
        <w:t>Talent optimization is the intentional alignment of people strategy with business outcomes. It requires HR leaders to assess workforce capabilities, identify gaps, and implement targeted solutions to improve performance, engagement, and growth.</w:t>
      </w:r>
    </w:p>
    <w:p w14:paraId="2800F03C" w14:textId="77777777" w:rsidR="00650F45" w:rsidRPr="00650F45" w:rsidRDefault="00650F45" w:rsidP="00650F45">
      <w:r w:rsidRPr="00650F45">
        <w:rPr>
          <w:b/>
          <w:bCs/>
        </w:rPr>
        <w:t>Key Elements of Talent Optimization:</w:t>
      </w:r>
    </w:p>
    <w:p w14:paraId="470CFE4C" w14:textId="77777777" w:rsidR="00650F45" w:rsidRPr="00650F45" w:rsidRDefault="00650F45" w:rsidP="00650F45">
      <w:pPr>
        <w:numPr>
          <w:ilvl w:val="0"/>
          <w:numId w:val="1"/>
        </w:numPr>
      </w:pPr>
      <w:r w:rsidRPr="00650F45">
        <w:t>Strategic workforce planning</w:t>
      </w:r>
    </w:p>
    <w:p w14:paraId="58848E03" w14:textId="77777777" w:rsidR="00650F45" w:rsidRPr="00650F45" w:rsidRDefault="00650F45" w:rsidP="00650F45">
      <w:pPr>
        <w:numPr>
          <w:ilvl w:val="0"/>
          <w:numId w:val="1"/>
        </w:numPr>
      </w:pPr>
      <w:r w:rsidRPr="00650F45">
        <w:t>Skills gap analysis and capability mapping</w:t>
      </w:r>
    </w:p>
    <w:p w14:paraId="7048F236" w14:textId="77777777" w:rsidR="00650F45" w:rsidRPr="00650F45" w:rsidRDefault="00650F45" w:rsidP="00650F45">
      <w:pPr>
        <w:numPr>
          <w:ilvl w:val="0"/>
          <w:numId w:val="1"/>
        </w:numPr>
      </w:pPr>
      <w:r w:rsidRPr="00650F45">
        <w:t>Talent development and learning pathways</w:t>
      </w:r>
    </w:p>
    <w:p w14:paraId="3980FBC0" w14:textId="77777777" w:rsidR="00650F45" w:rsidRPr="00650F45" w:rsidRDefault="00650F45" w:rsidP="00650F45">
      <w:pPr>
        <w:numPr>
          <w:ilvl w:val="0"/>
          <w:numId w:val="1"/>
        </w:numPr>
      </w:pPr>
      <w:r w:rsidRPr="00650F45">
        <w:t>Performance alignment and goal setting</w:t>
      </w:r>
    </w:p>
    <w:p w14:paraId="2446D197" w14:textId="77777777" w:rsidR="00650F45" w:rsidRPr="00650F45" w:rsidRDefault="00650F45" w:rsidP="00650F45">
      <w:r w:rsidRPr="00650F45">
        <w:t>Effective talent optimization creates a culture of high performance and supports organizational agility.</w:t>
      </w:r>
    </w:p>
    <w:p w14:paraId="4BE3435B" w14:textId="77777777" w:rsidR="00650F45" w:rsidRPr="00650F45" w:rsidRDefault="00650F45" w:rsidP="00650F45">
      <w:r w:rsidRPr="00650F45">
        <w:pict w14:anchorId="41B586B0">
          <v:rect id="_x0000_i1075" style="width:0;height:1.5pt" o:hralign="center" o:hrstd="t" o:hr="t" fillcolor="#a0a0a0" stroked="f"/>
        </w:pict>
      </w:r>
    </w:p>
    <w:p w14:paraId="689BC80F" w14:textId="77777777" w:rsidR="00650F45" w:rsidRPr="00650F45" w:rsidRDefault="00650F45" w:rsidP="00650F45">
      <w:pPr>
        <w:rPr>
          <w:b/>
          <w:bCs/>
        </w:rPr>
      </w:pPr>
      <w:r w:rsidRPr="00650F45">
        <w:rPr>
          <w:b/>
          <w:bCs/>
        </w:rPr>
        <w:t>Advanced Talent Acquisition Strategies</w:t>
      </w:r>
    </w:p>
    <w:p w14:paraId="3B56C4A9" w14:textId="77777777" w:rsidR="00650F45" w:rsidRPr="00650F45" w:rsidRDefault="00650F45" w:rsidP="00650F45">
      <w:r w:rsidRPr="00650F45">
        <w:t>To stay competitive, HR must go beyond traditional hiring methods and implement forward-thinking recruitment strategies:</w:t>
      </w:r>
    </w:p>
    <w:p w14:paraId="0AC35FBD" w14:textId="77777777" w:rsidR="00650F45" w:rsidRPr="00650F45" w:rsidRDefault="00650F45" w:rsidP="00650F45">
      <w:pPr>
        <w:numPr>
          <w:ilvl w:val="0"/>
          <w:numId w:val="2"/>
        </w:numPr>
      </w:pPr>
      <w:r w:rsidRPr="00650F45">
        <w:t>Leveraging data analytics to identify top talent sources</w:t>
      </w:r>
    </w:p>
    <w:p w14:paraId="043C8F0F" w14:textId="77777777" w:rsidR="00650F45" w:rsidRPr="00650F45" w:rsidRDefault="00650F45" w:rsidP="00650F45">
      <w:pPr>
        <w:numPr>
          <w:ilvl w:val="0"/>
          <w:numId w:val="2"/>
        </w:numPr>
      </w:pPr>
      <w:r w:rsidRPr="00650F45">
        <w:t>Building a strong employer brand and employee value proposition (EVP)</w:t>
      </w:r>
    </w:p>
    <w:p w14:paraId="2248EB2C" w14:textId="77777777" w:rsidR="00650F45" w:rsidRPr="00650F45" w:rsidRDefault="00650F45" w:rsidP="00650F45">
      <w:pPr>
        <w:numPr>
          <w:ilvl w:val="0"/>
          <w:numId w:val="2"/>
        </w:numPr>
      </w:pPr>
      <w:r w:rsidRPr="00650F45">
        <w:t>Creating inclusive, bias-aware hiring practices</w:t>
      </w:r>
    </w:p>
    <w:p w14:paraId="6272BDB7" w14:textId="77777777" w:rsidR="00650F45" w:rsidRPr="00650F45" w:rsidRDefault="00650F45" w:rsidP="00650F45">
      <w:pPr>
        <w:numPr>
          <w:ilvl w:val="0"/>
          <w:numId w:val="2"/>
        </w:numPr>
      </w:pPr>
      <w:r w:rsidRPr="00650F45">
        <w:t>Utilizing AI and automation to streamline sourcing and screening</w:t>
      </w:r>
    </w:p>
    <w:p w14:paraId="66E5014D" w14:textId="77777777" w:rsidR="00650F45" w:rsidRPr="00650F45" w:rsidRDefault="00650F45" w:rsidP="00650F45">
      <w:proofErr w:type="gramStart"/>
      <w:r w:rsidRPr="00650F45">
        <w:lastRenderedPageBreak/>
        <w:t>High-impact</w:t>
      </w:r>
      <w:proofErr w:type="gramEnd"/>
      <w:r w:rsidRPr="00650F45">
        <w:t xml:space="preserve"> hiring not only fills roles but strengthens the long-term capabilities of the organization.</w:t>
      </w:r>
    </w:p>
    <w:p w14:paraId="7A6FCF6B" w14:textId="77777777" w:rsidR="00650F45" w:rsidRPr="00650F45" w:rsidRDefault="00650F45" w:rsidP="00650F45">
      <w:r w:rsidRPr="00650F45">
        <w:pict w14:anchorId="6BFCEF44">
          <v:rect id="_x0000_i1076" style="width:0;height:1.5pt" o:hralign="center" o:hrstd="t" o:hr="t" fillcolor="#a0a0a0" stroked="f"/>
        </w:pict>
      </w:r>
    </w:p>
    <w:p w14:paraId="2E754404" w14:textId="77777777" w:rsidR="00650F45" w:rsidRPr="00650F45" w:rsidRDefault="00650F45" w:rsidP="00650F45">
      <w:pPr>
        <w:rPr>
          <w:b/>
          <w:bCs/>
        </w:rPr>
      </w:pPr>
      <w:r w:rsidRPr="00650F45">
        <w:rPr>
          <w:b/>
          <w:bCs/>
        </w:rPr>
        <w:t>Employee Development and Internal Mobility</w:t>
      </w:r>
    </w:p>
    <w:p w14:paraId="63BF28F0" w14:textId="77777777" w:rsidR="00650F45" w:rsidRPr="00650F45" w:rsidRDefault="00650F45" w:rsidP="00650F45">
      <w:r w:rsidRPr="00650F45">
        <w:t>Growth opportunities are key to both performance and retention. HR leaders must prioritize:</w:t>
      </w:r>
    </w:p>
    <w:p w14:paraId="37927713" w14:textId="77777777" w:rsidR="00650F45" w:rsidRPr="00650F45" w:rsidRDefault="00650F45" w:rsidP="00650F45">
      <w:pPr>
        <w:numPr>
          <w:ilvl w:val="0"/>
          <w:numId w:val="3"/>
        </w:numPr>
      </w:pPr>
      <w:r w:rsidRPr="00650F45">
        <w:t>Leadership development programs for emerging leaders</w:t>
      </w:r>
    </w:p>
    <w:p w14:paraId="08EEDF5C" w14:textId="77777777" w:rsidR="00650F45" w:rsidRPr="00650F45" w:rsidRDefault="00650F45" w:rsidP="00650F45">
      <w:pPr>
        <w:numPr>
          <w:ilvl w:val="0"/>
          <w:numId w:val="3"/>
        </w:numPr>
      </w:pPr>
      <w:r w:rsidRPr="00650F45">
        <w:t>Reskilling and upskilling initiatives</w:t>
      </w:r>
    </w:p>
    <w:p w14:paraId="4EFB7C86" w14:textId="77777777" w:rsidR="00650F45" w:rsidRPr="00650F45" w:rsidRDefault="00650F45" w:rsidP="00650F45">
      <w:pPr>
        <w:numPr>
          <w:ilvl w:val="0"/>
          <w:numId w:val="3"/>
        </w:numPr>
      </w:pPr>
      <w:r w:rsidRPr="00650F45">
        <w:t>Cross-functional training to broaden competencies</w:t>
      </w:r>
    </w:p>
    <w:p w14:paraId="20E5120C" w14:textId="77777777" w:rsidR="00650F45" w:rsidRPr="00650F45" w:rsidRDefault="00650F45" w:rsidP="00650F45">
      <w:pPr>
        <w:numPr>
          <w:ilvl w:val="0"/>
          <w:numId w:val="3"/>
        </w:numPr>
      </w:pPr>
      <w:r w:rsidRPr="00650F45">
        <w:t>Internal career pathways and job rotation programs</w:t>
      </w:r>
    </w:p>
    <w:p w14:paraId="0EF22962" w14:textId="77777777" w:rsidR="00650F45" w:rsidRPr="00650F45" w:rsidRDefault="00650F45" w:rsidP="00650F45">
      <w:r w:rsidRPr="00650F45">
        <w:t>By investing in continuous development, organizations reduce turnover and prepare employees for future roles.</w:t>
      </w:r>
    </w:p>
    <w:p w14:paraId="7B2A51F7" w14:textId="77777777" w:rsidR="00650F45" w:rsidRPr="00650F45" w:rsidRDefault="00650F45" w:rsidP="00650F45">
      <w:r w:rsidRPr="00650F45">
        <w:pict w14:anchorId="61740208">
          <v:rect id="_x0000_i1077" style="width:0;height:1.5pt" o:hralign="center" o:hrstd="t" o:hr="t" fillcolor="#a0a0a0" stroked="f"/>
        </w:pict>
      </w:r>
    </w:p>
    <w:p w14:paraId="219767DE" w14:textId="77777777" w:rsidR="00650F45" w:rsidRPr="00650F45" w:rsidRDefault="00650F45" w:rsidP="00650F45">
      <w:pPr>
        <w:rPr>
          <w:b/>
          <w:bCs/>
        </w:rPr>
      </w:pPr>
      <w:r w:rsidRPr="00650F45">
        <w:rPr>
          <w:b/>
          <w:bCs/>
        </w:rPr>
        <w:t>Succession Planning for Sustainability</w:t>
      </w:r>
    </w:p>
    <w:p w14:paraId="4878824B" w14:textId="77777777" w:rsidR="00650F45" w:rsidRPr="00650F45" w:rsidRDefault="00650F45" w:rsidP="00650F45">
      <w:r w:rsidRPr="00650F45">
        <w:t>Succession planning ensures continuity in critical roles and prepares future leaders across the organization. A proactive plan includes:</w:t>
      </w:r>
    </w:p>
    <w:p w14:paraId="522B5E7F" w14:textId="77777777" w:rsidR="00650F45" w:rsidRPr="00650F45" w:rsidRDefault="00650F45" w:rsidP="00650F45">
      <w:pPr>
        <w:numPr>
          <w:ilvl w:val="0"/>
          <w:numId w:val="4"/>
        </w:numPr>
      </w:pPr>
      <w:r w:rsidRPr="00650F45">
        <w:t>Identifying key roles and potential successors</w:t>
      </w:r>
    </w:p>
    <w:p w14:paraId="64D51383" w14:textId="77777777" w:rsidR="00650F45" w:rsidRPr="00650F45" w:rsidRDefault="00650F45" w:rsidP="00650F45">
      <w:pPr>
        <w:numPr>
          <w:ilvl w:val="0"/>
          <w:numId w:val="4"/>
        </w:numPr>
      </w:pPr>
      <w:r w:rsidRPr="00650F45">
        <w:t>Evaluating readiness and development needs</w:t>
      </w:r>
    </w:p>
    <w:p w14:paraId="5D5A7F93" w14:textId="77777777" w:rsidR="00650F45" w:rsidRPr="00650F45" w:rsidRDefault="00650F45" w:rsidP="00650F45">
      <w:pPr>
        <w:numPr>
          <w:ilvl w:val="0"/>
          <w:numId w:val="4"/>
        </w:numPr>
      </w:pPr>
      <w:r w:rsidRPr="00650F45">
        <w:t>Creating individual development plans (IDPs)</w:t>
      </w:r>
    </w:p>
    <w:p w14:paraId="73DD1552" w14:textId="77777777" w:rsidR="00650F45" w:rsidRPr="00650F45" w:rsidRDefault="00650F45" w:rsidP="00650F45">
      <w:pPr>
        <w:numPr>
          <w:ilvl w:val="0"/>
          <w:numId w:val="4"/>
        </w:numPr>
      </w:pPr>
      <w:r w:rsidRPr="00650F45">
        <w:t>Monitoring progress and updating plans regularly</w:t>
      </w:r>
    </w:p>
    <w:p w14:paraId="0387F2B7" w14:textId="77777777" w:rsidR="00650F45" w:rsidRPr="00650F45" w:rsidRDefault="00650F45" w:rsidP="00650F45">
      <w:r w:rsidRPr="00650F45">
        <w:t>Succession planning must be integrated into broader strategic planning to ensure leadership stability.</w:t>
      </w:r>
    </w:p>
    <w:p w14:paraId="1176F6C7" w14:textId="77777777" w:rsidR="00650F45" w:rsidRPr="00650F45" w:rsidRDefault="00650F45" w:rsidP="00650F45">
      <w:r w:rsidRPr="00650F45">
        <w:pict w14:anchorId="3A7ED056">
          <v:rect id="_x0000_i1078" style="width:0;height:1.5pt" o:hralign="center" o:hrstd="t" o:hr="t" fillcolor="#a0a0a0" stroked="f"/>
        </w:pict>
      </w:r>
    </w:p>
    <w:p w14:paraId="1BE5EEC9" w14:textId="77777777" w:rsidR="00650F45" w:rsidRPr="00650F45" w:rsidRDefault="00650F45" w:rsidP="00650F45">
      <w:pPr>
        <w:rPr>
          <w:b/>
          <w:bCs/>
        </w:rPr>
      </w:pPr>
      <w:r w:rsidRPr="00650F45">
        <w:rPr>
          <w:b/>
          <w:bCs/>
        </w:rPr>
        <w:t>Building a Talent Pipeline</w:t>
      </w:r>
    </w:p>
    <w:p w14:paraId="5F065B3A" w14:textId="77777777" w:rsidR="00650F45" w:rsidRPr="00650F45" w:rsidRDefault="00650F45" w:rsidP="00650F45">
      <w:r w:rsidRPr="00650F45">
        <w:t>Developing a consistent pipeline of high-potential employees safeguards the organization against talent shortages. This involves:</w:t>
      </w:r>
    </w:p>
    <w:p w14:paraId="11E6A17B" w14:textId="77777777" w:rsidR="00650F45" w:rsidRPr="00650F45" w:rsidRDefault="00650F45" w:rsidP="00650F45">
      <w:pPr>
        <w:numPr>
          <w:ilvl w:val="0"/>
          <w:numId w:val="5"/>
        </w:numPr>
      </w:pPr>
      <w:r w:rsidRPr="00650F45">
        <w:t>High-potential (HiPo) identification programs</w:t>
      </w:r>
    </w:p>
    <w:p w14:paraId="57CDA441" w14:textId="77777777" w:rsidR="00650F45" w:rsidRPr="00650F45" w:rsidRDefault="00650F45" w:rsidP="00650F45">
      <w:pPr>
        <w:numPr>
          <w:ilvl w:val="0"/>
          <w:numId w:val="5"/>
        </w:numPr>
      </w:pPr>
      <w:r w:rsidRPr="00650F45">
        <w:t>Mentoring and executive sponsorship initiatives</w:t>
      </w:r>
    </w:p>
    <w:p w14:paraId="072330C7" w14:textId="77777777" w:rsidR="00650F45" w:rsidRPr="00650F45" w:rsidRDefault="00650F45" w:rsidP="00650F45">
      <w:pPr>
        <w:numPr>
          <w:ilvl w:val="0"/>
          <w:numId w:val="5"/>
        </w:numPr>
      </w:pPr>
      <w:r w:rsidRPr="00650F45">
        <w:lastRenderedPageBreak/>
        <w:t>Partnering with universities and talent networks</w:t>
      </w:r>
    </w:p>
    <w:p w14:paraId="6C12E9A1" w14:textId="77777777" w:rsidR="00650F45" w:rsidRPr="00650F45" w:rsidRDefault="00650F45" w:rsidP="00650F45">
      <w:pPr>
        <w:numPr>
          <w:ilvl w:val="0"/>
          <w:numId w:val="5"/>
        </w:numPr>
      </w:pPr>
      <w:r w:rsidRPr="00650F45">
        <w:t>Strategic internships and early career pipelines</w:t>
      </w:r>
    </w:p>
    <w:p w14:paraId="2C99AD31" w14:textId="77777777" w:rsidR="00650F45" w:rsidRPr="00650F45" w:rsidRDefault="00650F45" w:rsidP="00650F45">
      <w:r w:rsidRPr="00650F45">
        <w:t>A strong pipeline equips the organization to grow from within and respond quickly to leadership gaps.</w:t>
      </w:r>
    </w:p>
    <w:p w14:paraId="1E95F344" w14:textId="77777777" w:rsidR="00650F45" w:rsidRPr="00650F45" w:rsidRDefault="00650F45" w:rsidP="00650F45">
      <w:r w:rsidRPr="00650F45">
        <w:pict w14:anchorId="2E0B4E82">
          <v:rect id="_x0000_i1079" style="width:0;height:1.5pt" o:hralign="center" o:hrstd="t" o:hr="t" fillcolor="#a0a0a0" stroked="f"/>
        </w:pict>
      </w:r>
    </w:p>
    <w:p w14:paraId="79A22F99" w14:textId="77777777" w:rsidR="00650F45" w:rsidRPr="00650F45" w:rsidRDefault="00650F45" w:rsidP="00650F45">
      <w:pPr>
        <w:rPr>
          <w:b/>
          <w:bCs/>
        </w:rPr>
      </w:pPr>
      <w:r w:rsidRPr="00650F45">
        <w:rPr>
          <w:b/>
          <w:bCs/>
        </w:rPr>
        <w:t>Metrics for Talent Optimization</w:t>
      </w:r>
    </w:p>
    <w:p w14:paraId="5E08EDC0" w14:textId="77777777" w:rsidR="00650F45" w:rsidRPr="00650F45" w:rsidRDefault="00650F45" w:rsidP="00650F45">
      <w:r w:rsidRPr="00650F45">
        <w:t>Senior HR professionals must track and evaluate the success of their talent strategies using relevant data:</w:t>
      </w:r>
    </w:p>
    <w:p w14:paraId="1795D19E" w14:textId="77777777" w:rsidR="00650F45" w:rsidRPr="00650F45" w:rsidRDefault="00650F45" w:rsidP="00650F45">
      <w:pPr>
        <w:numPr>
          <w:ilvl w:val="0"/>
          <w:numId w:val="6"/>
        </w:numPr>
      </w:pPr>
      <w:r w:rsidRPr="00650F45">
        <w:t>Time-to-fill and cost-per-hire</w:t>
      </w:r>
    </w:p>
    <w:p w14:paraId="69975F55" w14:textId="77777777" w:rsidR="00650F45" w:rsidRPr="00650F45" w:rsidRDefault="00650F45" w:rsidP="00650F45">
      <w:pPr>
        <w:numPr>
          <w:ilvl w:val="0"/>
          <w:numId w:val="6"/>
        </w:numPr>
      </w:pPr>
      <w:r w:rsidRPr="00650F45">
        <w:t>Employee engagement and retention rates</w:t>
      </w:r>
    </w:p>
    <w:p w14:paraId="6F311DE9" w14:textId="77777777" w:rsidR="00650F45" w:rsidRPr="00650F45" w:rsidRDefault="00650F45" w:rsidP="00650F45">
      <w:pPr>
        <w:numPr>
          <w:ilvl w:val="0"/>
          <w:numId w:val="6"/>
        </w:numPr>
      </w:pPr>
      <w:r w:rsidRPr="00650F45">
        <w:t>Internal promotion ratios</w:t>
      </w:r>
    </w:p>
    <w:p w14:paraId="4A557246" w14:textId="77777777" w:rsidR="00650F45" w:rsidRPr="00650F45" w:rsidRDefault="00650F45" w:rsidP="00650F45">
      <w:pPr>
        <w:numPr>
          <w:ilvl w:val="0"/>
          <w:numId w:val="6"/>
        </w:numPr>
      </w:pPr>
      <w:r w:rsidRPr="00650F45">
        <w:t>Leadership bench strength indicators</w:t>
      </w:r>
    </w:p>
    <w:p w14:paraId="4B0DC05F" w14:textId="77777777" w:rsidR="00650F45" w:rsidRPr="00650F45" w:rsidRDefault="00650F45" w:rsidP="00650F45">
      <w:pPr>
        <w:numPr>
          <w:ilvl w:val="0"/>
          <w:numId w:val="6"/>
        </w:numPr>
      </w:pPr>
      <w:r w:rsidRPr="00650F45">
        <w:t>Learning and development ROI</w:t>
      </w:r>
    </w:p>
    <w:p w14:paraId="6999C74A" w14:textId="77777777" w:rsidR="00650F45" w:rsidRPr="00650F45" w:rsidRDefault="00650F45" w:rsidP="00650F45">
      <w:r w:rsidRPr="00650F45">
        <w:t>Data-driven decisions improve accountability and sharpen talent investments.</w:t>
      </w:r>
    </w:p>
    <w:p w14:paraId="4B7F465C" w14:textId="77777777" w:rsidR="00650F45" w:rsidRPr="00650F45" w:rsidRDefault="00650F45" w:rsidP="00650F45">
      <w:r w:rsidRPr="00650F45">
        <w:pict w14:anchorId="02CF8DD9">
          <v:rect id="_x0000_i1080" style="width:0;height:1.5pt" o:hralign="center" o:hrstd="t" o:hr="t" fillcolor="#a0a0a0" stroked="f"/>
        </w:pict>
      </w:r>
    </w:p>
    <w:p w14:paraId="6CBB2783" w14:textId="77777777" w:rsidR="00650F45" w:rsidRPr="00650F45" w:rsidRDefault="00650F45" w:rsidP="00650F45">
      <w:pPr>
        <w:rPr>
          <w:b/>
          <w:bCs/>
        </w:rPr>
      </w:pPr>
      <w:r w:rsidRPr="00650F45">
        <w:rPr>
          <w:b/>
          <w:bCs/>
        </w:rPr>
        <w:t>Conclusion</w:t>
      </w:r>
    </w:p>
    <w:p w14:paraId="62E7C29A" w14:textId="77777777" w:rsidR="00650F45" w:rsidRPr="00650F45" w:rsidRDefault="00650F45" w:rsidP="00650F45">
      <w:r w:rsidRPr="00650F45">
        <w:t>Talent optimization and succession planning are not one-time events—they are continuous, strategic efforts that shape the future of the organization. Senior HR leaders must actively align talent initiatives with business priorities, ensure leadership continuity, and foster a growth-driven culture. When done right, these strategies create a workforce that is agile, engaged, and ready for what’s next.</w:t>
      </w:r>
    </w:p>
    <w:p w14:paraId="6A0A65AB" w14:textId="77777777" w:rsidR="005568C0" w:rsidRDefault="005568C0"/>
    <w:sectPr w:rsidR="005568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BD1"/>
    <w:multiLevelType w:val="multilevel"/>
    <w:tmpl w:val="1602C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9C2AA0"/>
    <w:multiLevelType w:val="multilevel"/>
    <w:tmpl w:val="D74E7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6634D1"/>
    <w:multiLevelType w:val="multilevel"/>
    <w:tmpl w:val="03A2B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E1498A"/>
    <w:multiLevelType w:val="multilevel"/>
    <w:tmpl w:val="0E4CE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074759"/>
    <w:multiLevelType w:val="multilevel"/>
    <w:tmpl w:val="E506C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2F0B91"/>
    <w:multiLevelType w:val="multilevel"/>
    <w:tmpl w:val="DCD80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5539068">
    <w:abstractNumId w:val="5"/>
  </w:num>
  <w:num w:numId="2" w16cid:durableId="134178373">
    <w:abstractNumId w:val="2"/>
  </w:num>
  <w:num w:numId="3" w16cid:durableId="575168947">
    <w:abstractNumId w:val="3"/>
  </w:num>
  <w:num w:numId="4" w16cid:durableId="1879194763">
    <w:abstractNumId w:val="0"/>
  </w:num>
  <w:num w:numId="5" w16cid:durableId="1026057126">
    <w:abstractNumId w:val="1"/>
  </w:num>
  <w:num w:numId="6" w16cid:durableId="11335189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B84"/>
    <w:rsid w:val="000516D7"/>
    <w:rsid w:val="003C0FCC"/>
    <w:rsid w:val="005568C0"/>
    <w:rsid w:val="005809FA"/>
    <w:rsid w:val="00650F45"/>
    <w:rsid w:val="00EA7B84"/>
    <w:rsid w:val="00F35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07DB2"/>
  <w15:chartTrackingRefBased/>
  <w15:docId w15:val="{517B69C2-115D-413C-B184-FDAA34261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7B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7B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7B8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7B8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7B8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7B8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7B8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7B8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7B8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7B8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7B8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7B8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7B8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7B8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7B8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7B8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7B8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7B84"/>
    <w:rPr>
      <w:rFonts w:eastAsiaTheme="majorEastAsia" w:cstheme="majorBidi"/>
      <w:color w:val="272727" w:themeColor="text1" w:themeTint="D8"/>
    </w:rPr>
  </w:style>
  <w:style w:type="paragraph" w:styleId="Title">
    <w:name w:val="Title"/>
    <w:basedOn w:val="Normal"/>
    <w:next w:val="Normal"/>
    <w:link w:val="TitleChar"/>
    <w:uiPriority w:val="10"/>
    <w:qFormat/>
    <w:rsid w:val="00EA7B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7B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7B8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7B8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7B84"/>
    <w:pPr>
      <w:spacing w:before="160"/>
      <w:jc w:val="center"/>
    </w:pPr>
    <w:rPr>
      <w:i/>
      <w:iCs/>
      <w:color w:val="404040" w:themeColor="text1" w:themeTint="BF"/>
    </w:rPr>
  </w:style>
  <w:style w:type="character" w:customStyle="1" w:styleId="QuoteChar">
    <w:name w:val="Quote Char"/>
    <w:basedOn w:val="DefaultParagraphFont"/>
    <w:link w:val="Quote"/>
    <w:uiPriority w:val="29"/>
    <w:rsid w:val="00EA7B84"/>
    <w:rPr>
      <w:i/>
      <w:iCs/>
      <w:color w:val="404040" w:themeColor="text1" w:themeTint="BF"/>
    </w:rPr>
  </w:style>
  <w:style w:type="paragraph" w:styleId="ListParagraph">
    <w:name w:val="List Paragraph"/>
    <w:basedOn w:val="Normal"/>
    <w:uiPriority w:val="34"/>
    <w:qFormat/>
    <w:rsid w:val="00EA7B84"/>
    <w:pPr>
      <w:ind w:left="720"/>
      <w:contextualSpacing/>
    </w:pPr>
  </w:style>
  <w:style w:type="character" w:styleId="IntenseEmphasis">
    <w:name w:val="Intense Emphasis"/>
    <w:basedOn w:val="DefaultParagraphFont"/>
    <w:uiPriority w:val="21"/>
    <w:qFormat/>
    <w:rsid w:val="00EA7B84"/>
    <w:rPr>
      <w:i/>
      <w:iCs/>
      <w:color w:val="0F4761" w:themeColor="accent1" w:themeShade="BF"/>
    </w:rPr>
  </w:style>
  <w:style w:type="paragraph" w:styleId="IntenseQuote">
    <w:name w:val="Intense Quote"/>
    <w:basedOn w:val="Normal"/>
    <w:next w:val="Normal"/>
    <w:link w:val="IntenseQuoteChar"/>
    <w:uiPriority w:val="30"/>
    <w:qFormat/>
    <w:rsid w:val="00EA7B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7B84"/>
    <w:rPr>
      <w:i/>
      <w:iCs/>
      <w:color w:val="0F4761" w:themeColor="accent1" w:themeShade="BF"/>
    </w:rPr>
  </w:style>
  <w:style w:type="character" w:styleId="IntenseReference">
    <w:name w:val="Intense Reference"/>
    <w:basedOn w:val="DefaultParagraphFont"/>
    <w:uiPriority w:val="32"/>
    <w:qFormat/>
    <w:rsid w:val="00EA7B8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1748994">
      <w:bodyDiv w:val="1"/>
      <w:marLeft w:val="0"/>
      <w:marRight w:val="0"/>
      <w:marTop w:val="0"/>
      <w:marBottom w:val="0"/>
      <w:divBdr>
        <w:top w:val="none" w:sz="0" w:space="0" w:color="auto"/>
        <w:left w:val="none" w:sz="0" w:space="0" w:color="auto"/>
        <w:bottom w:val="none" w:sz="0" w:space="0" w:color="auto"/>
        <w:right w:val="none" w:sz="0" w:space="0" w:color="auto"/>
      </w:divBdr>
      <w:divsChild>
        <w:div w:id="1145008500">
          <w:marLeft w:val="0"/>
          <w:marRight w:val="0"/>
          <w:marTop w:val="0"/>
          <w:marBottom w:val="0"/>
          <w:divBdr>
            <w:top w:val="none" w:sz="0" w:space="0" w:color="auto"/>
            <w:left w:val="none" w:sz="0" w:space="0" w:color="auto"/>
            <w:bottom w:val="none" w:sz="0" w:space="0" w:color="auto"/>
            <w:right w:val="none" w:sz="0" w:space="0" w:color="auto"/>
          </w:divBdr>
        </w:div>
        <w:div w:id="343282940">
          <w:marLeft w:val="0"/>
          <w:marRight w:val="0"/>
          <w:marTop w:val="0"/>
          <w:marBottom w:val="0"/>
          <w:divBdr>
            <w:top w:val="none" w:sz="0" w:space="0" w:color="auto"/>
            <w:left w:val="none" w:sz="0" w:space="0" w:color="auto"/>
            <w:bottom w:val="none" w:sz="0" w:space="0" w:color="auto"/>
            <w:right w:val="none" w:sz="0" w:space="0" w:color="auto"/>
          </w:divBdr>
        </w:div>
        <w:div w:id="832070579">
          <w:marLeft w:val="0"/>
          <w:marRight w:val="0"/>
          <w:marTop w:val="0"/>
          <w:marBottom w:val="0"/>
          <w:divBdr>
            <w:top w:val="none" w:sz="0" w:space="0" w:color="auto"/>
            <w:left w:val="none" w:sz="0" w:space="0" w:color="auto"/>
            <w:bottom w:val="none" w:sz="0" w:space="0" w:color="auto"/>
            <w:right w:val="none" w:sz="0" w:space="0" w:color="auto"/>
          </w:divBdr>
        </w:div>
        <w:div w:id="287050719">
          <w:marLeft w:val="0"/>
          <w:marRight w:val="0"/>
          <w:marTop w:val="0"/>
          <w:marBottom w:val="0"/>
          <w:divBdr>
            <w:top w:val="none" w:sz="0" w:space="0" w:color="auto"/>
            <w:left w:val="none" w:sz="0" w:space="0" w:color="auto"/>
            <w:bottom w:val="none" w:sz="0" w:space="0" w:color="auto"/>
            <w:right w:val="none" w:sz="0" w:space="0" w:color="auto"/>
          </w:divBdr>
        </w:div>
        <w:div w:id="959266786">
          <w:marLeft w:val="0"/>
          <w:marRight w:val="0"/>
          <w:marTop w:val="0"/>
          <w:marBottom w:val="0"/>
          <w:divBdr>
            <w:top w:val="none" w:sz="0" w:space="0" w:color="auto"/>
            <w:left w:val="none" w:sz="0" w:space="0" w:color="auto"/>
            <w:bottom w:val="none" w:sz="0" w:space="0" w:color="auto"/>
            <w:right w:val="none" w:sz="0" w:space="0" w:color="auto"/>
          </w:divBdr>
        </w:div>
        <w:div w:id="403336856">
          <w:marLeft w:val="0"/>
          <w:marRight w:val="0"/>
          <w:marTop w:val="0"/>
          <w:marBottom w:val="0"/>
          <w:divBdr>
            <w:top w:val="none" w:sz="0" w:space="0" w:color="auto"/>
            <w:left w:val="none" w:sz="0" w:space="0" w:color="auto"/>
            <w:bottom w:val="none" w:sz="0" w:space="0" w:color="auto"/>
            <w:right w:val="none" w:sz="0" w:space="0" w:color="auto"/>
          </w:divBdr>
        </w:div>
        <w:div w:id="1191256518">
          <w:marLeft w:val="0"/>
          <w:marRight w:val="0"/>
          <w:marTop w:val="0"/>
          <w:marBottom w:val="0"/>
          <w:divBdr>
            <w:top w:val="none" w:sz="0" w:space="0" w:color="auto"/>
            <w:left w:val="none" w:sz="0" w:space="0" w:color="auto"/>
            <w:bottom w:val="none" w:sz="0" w:space="0" w:color="auto"/>
            <w:right w:val="none" w:sz="0" w:space="0" w:color="auto"/>
          </w:divBdr>
        </w:div>
        <w:div w:id="1295790909">
          <w:marLeft w:val="0"/>
          <w:marRight w:val="0"/>
          <w:marTop w:val="0"/>
          <w:marBottom w:val="0"/>
          <w:divBdr>
            <w:top w:val="none" w:sz="0" w:space="0" w:color="auto"/>
            <w:left w:val="none" w:sz="0" w:space="0" w:color="auto"/>
            <w:bottom w:val="none" w:sz="0" w:space="0" w:color="auto"/>
            <w:right w:val="none" w:sz="0" w:space="0" w:color="auto"/>
          </w:divBdr>
        </w:div>
      </w:divsChild>
    </w:div>
    <w:div w:id="1675181861">
      <w:bodyDiv w:val="1"/>
      <w:marLeft w:val="0"/>
      <w:marRight w:val="0"/>
      <w:marTop w:val="0"/>
      <w:marBottom w:val="0"/>
      <w:divBdr>
        <w:top w:val="none" w:sz="0" w:space="0" w:color="auto"/>
        <w:left w:val="none" w:sz="0" w:space="0" w:color="auto"/>
        <w:bottom w:val="none" w:sz="0" w:space="0" w:color="auto"/>
        <w:right w:val="none" w:sz="0" w:space="0" w:color="auto"/>
      </w:divBdr>
      <w:divsChild>
        <w:div w:id="582878132">
          <w:marLeft w:val="0"/>
          <w:marRight w:val="0"/>
          <w:marTop w:val="0"/>
          <w:marBottom w:val="0"/>
          <w:divBdr>
            <w:top w:val="none" w:sz="0" w:space="0" w:color="auto"/>
            <w:left w:val="none" w:sz="0" w:space="0" w:color="auto"/>
            <w:bottom w:val="none" w:sz="0" w:space="0" w:color="auto"/>
            <w:right w:val="none" w:sz="0" w:space="0" w:color="auto"/>
          </w:divBdr>
        </w:div>
        <w:div w:id="309208793">
          <w:marLeft w:val="0"/>
          <w:marRight w:val="0"/>
          <w:marTop w:val="0"/>
          <w:marBottom w:val="0"/>
          <w:divBdr>
            <w:top w:val="none" w:sz="0" w:space="0" w:color="auto"/>
            <w:left w:val="none" w:sz="0" w:space="0" w:color="auto"/>
            <w:bottom w:val="none" w:sz="0" w:space="0" w:color="auto"/>
            <w:right w:val="none" w:sz="0" w:space="0" w:color="auto"/>
          </w:divBdr>
        </w:div>
        <w:div w:id="1801799765">
          <w:marLeft w:val="0"/>
          <w:marRight w:val="0"/>
          <w:marTop w:val="0"/>
          <w:marBottom w:val="0"/>
          <w:divBdr>
            <w:top w:val="none" w:sz="0" w:space="0" w:color="auto"/>
            <w:left w:val="none" w:sz="0" w:space="0" w:color="auto"/>
            <w:bottom w:val="none" w:sz="0" w:space="0" w:color="auto"/>
            <w:right w:val="none" w:sz="0" w:space="0" w:color="auto"/>
          </w:divBdr>
        </w:div>
        <w:div w:id="846603046">
          <w:marLeft w:val="0"/>
          <w:marRight w:val="0"/>
          <w:marTop w:val="0"/>
          <w:marBottom w:val="0"/>
          <w:divBdr>
            <w:top w:val="none" w:sz="0" w:space="0" w:color="auto"/>
            <w:left w:val="none" w:sz="0" w:space="0" w:color="auto"/>
            <w:bottom w:val="none" w:sz="0" w:space="0" w:color="auto"/>
            <w:right w:val="none" w:sz="0" w:space="0" w:color="auto"/>
          </w:divBdr>
        </w:div>
        <w:div w:id="1470442542">
          <w:marLeft w:val="0"/>
          <w:marRight w:val="0"/>
          <w:marTop w:val="0"/>
          <w:marBottom w:val="0"/>
          <w:divBdr>
            <w:top w:val="none" w:sz="0" w:space="0" w:color="auto"/>
            <w:left w:val="none" w:sz="0" w:space="0" w:color="auto"/>
            <w:bottom w:val="none" w:sz="0" w:space="0" w:color="auto"/>
            <w:right w:val="none" w:sz="0" w:space="0" w:color="auto"/>
          </w:divBdr>
        </w:div>
        <w:div w:id="1542670241">
          <w:marLeft w:val="0"/>
          <w:marRight w:val="0"/>
          <w:marTop w:val="0"/>
          <w:marBottom w:val="0"/>
          <w:divBdr>
            <w:top w:val="none" w:sz="0" w:space="0" w:color="auto"/>
            <w:left w:val="none" w:sz="0" w:space="0" w:color="auto"/>
            <w:bottom w:val="none" w:sz="0" w:space="0" w:color="auto"/>
            <w:right w:val="none" w:sz="0" w:space="0" w:color="auto"/>
          </w:divBdr>
        </w:div>
        <w:div w:id="573510829">
          <w:marLeft w:val="0"/>
          <w:marRight w:val="0"/>
          <w:marTop w:val="0"/>
          <w:marBottom w:val="0"/>
          <w:divBdr>
            <w:top w:val="none" w:sz="0" w:space="0" w:color="auto"/>
            <w:left w:val="none" w:sz="0" w:space="0" w:color="auto"/>
            <w:bottom w:val="none" w:sz="0" w:space="0" w:color="auto"/>
            <w:right w:val="none" w:sz="0" w:space="0" w:color="auto"/>
          </w:divBdr>
        </w:div>
        <w:div w:id="1426488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551</Words>
  <Characters>3143</Characters>
  <Application>Microsoft Office Word</Application>
  <DocSecurity>0</DocSecurity>
  <Lines>26</Lines>
  <Paragraphs>7</Paragraphs>
  <ScaleCrop>false</ScaleCrop>
  <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 Cleghorn</dc:creator>
  <cp:keywords/>
  <dc:description/>
  <cp:lastModifiedBy>Zack Cleghorn</cp:lastModifiedBy>
  <cp:revision>2</cp:revision>
  <dcterms:created xsi:type="dcterms:W3CDTF">2025-03-21T17:24:00Z</dcterms:created>
  <dcterms:modified xsi:type="dcterms:W3CDTF">2025-03-21T17:24:00Z</dcterms:modified>
</cp:coreProperties>
</file>